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540" w:lineRule="exact"/>
        <w:ind w:left="1244" w:hanging="1280" w:hangingChars="400"/>
        <w:jc w:val="center"/>
        <w:rPr>
          <w:rFonts w:hint="eastAsia" w:ascii="方正公文小标宋" w:hAnsi="方正公文小标宋" w:eastAsia="方正公文小标宋" w:cs="方正公文小标宋"/>
          <w:b w:val="0"/>
          <w:bCs w:val="0"/>
          <w:sz w:val="32"/>
          <w:szCs w:val="32"/>
          <w:lang w:eastAsia="zh-CN"/>
        </w:rPr>
      </w:pPr>
      <w:r>
        <w:rPr>
          <w:rFonts w:hint="eastAsia" w:ascii="方正公文小标宋" w:hAnsi="方正公文小标宋" w:eastAsia="方正公文小标宋" w:cs="方正公文小标宋"/>
          <w:b w:val="0"/>
          <w:bCs w:val="0"/>
          <w:sz w:val="32"/>
          <w:szCs w:val="32"/>
          <w:lang w:val="en-US" w:eastAsia="zh-CN"/>
        </w:rPr>
        <w:t>陕西省知识产权局</w:t>
      </w:r>
      <w:r>
        <w:rPr>
          <w:rFonts w:hint="eastAsia" w:ascii="方正公文小标宋" w:hAnsi="方正公文小标宋" w:eastAsia="方正公文小标宋" w:cs="方正公文小标宋"/>
          <w:b w:val="0"/>
          <w:bCs w:val="0"/>
          <w:sz w:val="32"/>
          <w:szCs w:val="32"/>
        </w:rPr>
        <w:t>2021年度陕西省科学技术奖</w:t>
      </w:r>
      <w:r>
        <w:rPr>
          <w:rFonts w:hint="eastAsia" w:ascii="方正公文小标宋" w:hAnsi="方正公文小标宋" w:eastAsia="方正公文小标宋" w:cs="方正公文小标宋"/>
          <w:b w:val="0"/>
          <w:bCs w:val="0"/>
          <w:sz w:val="32"/>
          <w:szCs w:val="32"/>
          <w:lang w:val="en-US" w:eastAsia="zh-CN"/>
        </w:rPr>
        <w:t>提名项目汇总</w:t>
      </w:r>
      <w:r>
        <w:rPr>
          <w:rFonts w:hint="eastAsia" w:ascii="方正公文小标宋" w:hAnsi="方正公文小标宋" w:eastAsia="方正公文小标宋" w:cs="方正公文小标宋"/>
          <w:b w:val="0"/>
          <w:bCs w:val="0"/>
          <w:sz w:val="32"/>
          <w:szCs w:val="32"/>
        </w:rPr>
        <w:t>表</w:t>
      </w:r>
    </w:p>
    <w:p>
      <w:pPr>
        <w:rPr>
          <w:rFonts w:asciiTheme="minorEastAsia" w:hAnsiTheme="minorEastAsia" w:eastAsiaTheme="minorEastAsia"/>
        </w:rPr>
      </w:pPr>
    </w:p>
    <w:tbl>
      <w:tblPr>
        <w:tblStyle w:val="7"/>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51"/>
        <w:gridCol w:w="1130"/>
        <w:gridCol w:w="1413"/>
        <w:gridCol w:w="6247"/>
        <w:gridCol w:w="1278"/>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 w:type="pc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序号</w:t>
            </w:r>
          </w:p>
        </w:tc>
        <w:tc>
          <w:tcPr>
            <w:tcW w:w="596" w:type="pc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项目名称（候选人姓名）</w:t>
            </w:r>
          </w:p>
        </w:tc>
        <w:tc>
          <w:tcPr>
            <w:tcW w:w="434" w:type="pc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完成人</w:t>
            </w:r>
          </w:p>
        </w:tc>
        <w:tc>
          <w:tcPr>
            <w:tcW w:w="543" w:type="pc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完成单位</w:t>
            </w:r>
          </w:p>
        </w:tc>
        <w:tc>
          <w:tcPr>
            <w:tcW w:w="2400" w:type="pc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项目简介</w:t>
            </w:r>
          </w:p>
        </w:tc>
        <w:tc>
          <w:tcPr>
            <w:tcW w:w="491" w:type="pc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推荐奖种</w:t>
            </w:r>
          </w:p>
        </w:tc>
        <w:tc>
          <w:tcPr>
            <w:tcW w:w="370" w:type="pct"/>
            <w:shd w:val="clear" w:color="auto" w:fill="auto"/>
            <w:vAlign w:val="center"/>
          </w:tcPr>
          <w:p>
            <w:pPr>
              <w:widowControl/>
              <w:jc w:val="center"/>
              <w:rPr>
                <w:rFonts w:hint="eastAsia" w:ascii="黑体" w:hAnsi="黑体" w:eastAsia="黑体" w:cs="宋体"/>
                <w:b/>
                <w:bCs/>
                <w:kern w:val="0"/>
                <w:szCs w:val="21"/>
              </w:rPr>
            </w:pPr>
            <w:r>
              <w:rPr>
                <w:rFonts w:hint="eastAsia" w:ascii="黑体" w:hAnsi="黑体" w:eastAsia="黑体" w:cs="宋体"/>
                <w:b/>
                <w:bCs/>
                <w:kern w:val="0"/>
                <w:szCs w:val="21"/>
              </w:rPr>
              <w:t>推荐</w:t>
            </w:r>
          </w:p>
          <w:p>
            <w:pPr>
              <w:widowControl/>
              <w:jc w:val="center"/>
              <w:rPr>
                <w:rFonts w:ascii="黑体" w:hAnsi="黑体" w:eastAsia="黑体" w:cs="宋体"/>
                <w:b/>
                <w:bCs/>
                <w:kern w:val="0"/>
                <w:szCs w:val="21"/>
              </w:rPr>
            </w:pPr>
            <w:r>
              <w:rPr>
                <w:rFonts w:hint="eastAsia" w:ascii="黑体" w:hAnsi="黑体" w:eastAsia="黑体" w:cs="宋体"/>
                <w:b/>
                <w:bCs/>
                <w:kern w:val="0"/>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 w:type="pct"/>
            <w:shd w:val="clear" w:color="auto" w:fill="auto"/>
            <w:vAlign w:val="center"/>
          </w:tcPr>
          <w:p>
            <w:pPr>
              <w:pStyle w:val="15"/>
              <w:widowControl/>
              <w:numPr>
                <w:ilvl w:val="0"/>
                <w:numId w:val="0"/>
              </w:numPr>
              <w:ind w:left="0" w:leftChars="0" w:firstLine="0" w:firstLineChars="0"/>
              <w:jc w:val="both"/>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p>
        </w:tc>
        <w:tc>
          <w:tcPr>
            <w:tcW w:w="596" w:type="pct"/>
            <w:shd w:val="clear" w:color="auto" w:fill="auto"/>
            <w:vAlign w:val="center"/>
          </w:tcPr>
          <w:p>
            <w:pPr>
              <w:widowControl/>
              <w:rPr>
                <w:rFonts w:hint="eastAsia" w:ascii="宋体" w:hAnsi="宋体" w:eastAsia="宋体" w:cs="宋体"/>
                <w:color w:val="FF0000"/>
                <w:kern w:val="0"/>
                <w:sz w:val="21"/>
                <w:szCs w:val="21"/>
                <w:lang w:val="en-US" w:eastAsia="zh-CN" w:bidi="ar-SA"/>
              </w:rPr>
            </w:pPr>
            <w:r>
              <w:rPr>
                <w:rFonts w:hint="eastAsia" w:ascii="宋体" w:hAnsi="宋体"/>
              </w:rPr>
              <w:t>环保型植物绝缘油的研发与应用</w:t>
            </w:r>
          </w:p>
        </w:tc>
        <w:tc>
          <w:tcPr>
            <w:tcW w:w="434" w:type="pct"/>
            <w:shd w:val="clear" w:color="auto" w:fill="auto"/>
            <w:vAlign w:val="center"/>
          </w:tcPr>
          <w:p>
            <w:pPr>
              <w:widowControl/>
              <w:rPr>
                <w:rFonts w:hint="eastAsia" w:ascii="宋体" w:hAnsi="宋体" w:eastAsia="宋体" w:cs="宋体"/>
                <w:color w:val="FF0000"/>
                <w:kern w:val="0"/>
                <w:sz w:val="21"/>
                <w:szCs w:val="21"/>
                <w:lang w:val="en-US" w:eastAsia="zh-CN" w:bidi="ar-SA"/>
              </w:rPr>
            </w:pPr>
            <w:r>
              <w:rPr>
                <w:rFonts w:hint="eastAsia" w:ascii="宋体" w:hAnsi="宋体"/>
              </w:rPr>
              <w:t>李华强、黄飞、刘延、钟力生、胡小博、于钦学、赵勇进、杨渝、郭明邦</w:t>
            </w:r>
          </w:p>
        </w:tc>
        <w:tc>
          <w:tcPr>
            <w:tcW w:w="543" w:type="pct"/>
            <w:shd w:val="clear" w:color="auto" w:fill="auto"/>
            <w:vAlign w:val="center"/>
          </w:tcPr>
          <w:p>
            <w:pPr>
              <w:widowControl/>
              <w:rPr>
                <w:rFonts w:hint="eastAsia" w:ascii="宋体" w:hAnsi="宋体" w:eastAsia="宋体" w:cs="宋体"/>
                <w:color w:val="FF0000"/>
                <w:kern w:val="0"/>
                <w:sz w:val="21"/>
                <w:szCs w:val="21"/>
                <w:lang w:val="en-US" w:eastAsia="zh-CN" w:bidi="ar-SA"/>
              </w:rPr>
            </w:pPr>
            <w:r>
              <w:rPr>
                <w:rFonts w:hint="eastAsia" w:ascii="宋体" w:hAnsi="宋体" w:cs="宋体"/>
                <w:kern w:val="0"/>
                <w:szCs w:val="21"/>
              </w:rPr>
              <w:t>西安交通大学、广东卓原新材料科技有限公司、西安西电变压器有限责任公司</w:t>
            </w:r>
          </w:p>
        </w:tc>
        <w:tc>
          <w:tcPr>
            <w:tcW w:w="2400" w:type="pct"/>
            <w:shd w:val="clear" w:color="auto" w:fill="auto"/>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该项目</w:t>
            </w:r>
            <w:r>
              <w:rPr>
                <w:rFonts w:ascii="宋体" w:hAnsi="宋体" w:cs="宋体"/>
                <w:kern w:val="0"/>
                <w:szCs w:val="21"/>
              </w:rPr>
              <w:t>在工信部“绿色制造系统集成项目”及各类基金的支持下，以液体介质本征分子结构为研究起点，开发了具备国际先进水平的天然酯绝缘油，解决了天然酯绝缘油的大规模量产问题，攻克了天然酯绝缘油的核心配方技术。以应用为导向，研究了天然酯绝缘油的基础介电理化特性，为变压器的绝缘和散热设计提供了数据基础。以实践为依据，解决了变压器设计生产中的材料匹配及工艺优化等问题。最终获得了国内首台大容量110kV植物绝缘油变压器以及国内首台220kV植物绝缘油变压器。</w:t>
            </w:r>
          </w:p>
          <w:p>
            <w:pPr>
              <w:widowControl/>
              <w:adjustRightInd w:val="0"/>
              <w:snapToGrid w:val="0"/>
              <w:ind w:firstLine="420" w:firstLineChars="200"/>
              <w:rPr>
                <w:rFonts w:hint="eastAsia" w:ascii="宋体" w:hAnsi="宋体" w:eastAsia="宋体" w:cs="宋体"/>
                <w:color w:val="FF0000"/>
                <w:kern w:val="0"/>
                <w:sz w:val="21"/>
                <w:szCs w:val="21"/>
                <w:lang w:val="en-US" w:eastAsia="zh-CN" w:bidi="ar-SA"/>
              </w:rPr>
            </w:pPr>
            <w:bookmarkStart w:id="7" w:name="_GoBack"/>
            <w:bookmarkEnd w:id="7"/>
            <w:r>
              <w:rPr>
                <w:rFonts w:ascii="宋体" w:hAnsi="宋体" w:cs="宋体"/>
                <w:kern w:val="0"/>
                <w:szCs w:val="21"/>
              </w:rPr>
              <w:t>项目整体技术达到国际先进水平。开发产品已在十多家单位取得应用，项目在近三年内销售额达数千万元，并创造性的推动了植物油变压器的应用，该技术现已成功应用于配电变压器、电力变压器、风电变压器及光伏变压器等领域中。促进了我国电力装备绿色环保和碳中和的进程。</w:t>
            </w:r>
          </w:p>
        </w:tc>
        <w:tc>
          <w:tcPr>
            <w:tcW w:w="491" w:type="pct"/>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科技进步奖</w:t>
            </w:r>
          </w:p>
        </w:tc>
        <w:tc>
          <w:tcPr>
            <w:tcW w:w="370" w:type="pct"/>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 w:type="pct"/>
            <w:shd w:val="clear" w:color="auto" w:fill="auto"/>
            <w:vAlign w:val="center"/>
          </w:tcPr>
          <w:p>
            <w:pPr>
              <w:jc w:val="center"/>
              <w:rPr>
                <w:rFonts w:hint="default" w:eastAsia="宋体" w:cs="Times New Roman" w:asciiTheme="minorEastAsia" w:hAnsi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2</w:t>
            </w:r>
          </w:p>
        </w:tc>
        <w:tc>
          <w:tcPr>
            <w:tcW w:w="596" w:type="pct"/>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cs="宋体" w:asciiTheme="minorEastAsia" w:hAnsiTheme="minorEastAsia"/>
                <w:bCs/>
                <w:kern w:val="0"/>
                <w:sz w:val="24"/>
                <w:szCs w:val="24"/>
              </w:rPr>
              <w:t>陕北黄土高原山洪泥石流气象监测预警技术研究</w:t>
            </w:r>
          </w:p>
        </w:tc>
        <w:tc>
          <w:tcPr>
            <w:tcW w:w="434" w:type="pct"/>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cs="宋体" w:asciiTheme="minorEastAsia" w:hAnsiTheme="minorEastAsia"/>
                <w:bCs/>
                <w:kern w:val="0"/>
                <w:sz w:val="24"/>
                <w:szCs w:val="24"/>
              </w:rPr>
              <w:t>霍艾迪，成玉祥，王菊翠</w:t>
            </w:r>
            <w:r>
              <w:rPr>
                <w:rFonts w:cs="宋体" w:asciiTheme="minorEastAsia" w:hAnsiTheme="minorEastAsia"/>
                <w:bCs/>
                <w:kern w:val="0"/>
                <w:sz w:val="24"/>
                <w:szCs w:val="24"/>
              </w:rPr>
              <w:t>，</w:t>
            </w:r>
            <w:r>
              <w:rPr>
                <w:rFonts w:hint="eastAsia" w:cs="宋体" w:asciiTheme="minorEastAsia" w:hAnsiTheme="minorEastAsia"/>
                <w:bCs/>
                <w:kern w:val="0"/>
                <w:sz w:val="24"/>
                <w:szCs w:val="24"/>
              </w:rPr>
              <w:t>张学真，吴新</w:t>
            </w:r>
          </w:p>
        </w:tc>
        <w:tc>
          <w:tcPr>
            <w:tcW w:w="543" w:type="pct"/>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szCs w:val="24"/>
              </w:rPr>
              <w:t>长安大学</w:t>
            </w:r>
          </w:p>
        </w:tc>
        <w:tc>
          <w:tcPr>
            <w:tcW w:w="2400" w:type="pct"/>
            <w:shd w:val="clear" w:color="auto" w:fill="auto"/>
            <w:vAlign w:val="center"/>
          </w:tcPr>
          <w:p>
            <w:pPr>
              <w:ind w:firstLine="480" w:firstLineChars="200"/>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szCs w:val="24"/>
              </w:rPr>
              <w:t>该项目围绕陕北黄土高原山洪泥石流启动机制与预警这个科学问题，历经多年攻关，揭示了降雨-径流-淹没的演化过程及山洪泥石流启动的内在机制，将地质灾害与气象、水文等多因素相结合，构建了山洪泥石流监测及预警体系，并将预警与应变过程有机结合，实现了对山洪泥石流监测与预警的全过程管理和决策支持；提出了面向山洪泥石流预警的特征降雨临界阈值的确定方法，构建了SWAT和HEC-RAS耦合模型，以及由降雨到淹没范围的计算方法；通过原位实验，建立了监测和预报暴雨型稀性泥石流的方法，解决了陕北黄土高原暴雨型稀性泥石流气象监测预警技术方法体系构建难题。引领了该领域的研究方向，丰富了我国陕北黄土高原山洪泥石流气象监测技术体系。经过长期的研发实践，该项目取得了3项国家发明专利，2项实用新型专利。项目的成果通过校企联合，实施专利转化，已经成功应用到多个领域，2016-2018累计经济收入为359.02万元。</w:t>
            </w:r>
            <w:r>
              <w:rPr>
                <w:rFonts w:asciiTheme="minorEastAsia" w:hAnsiTheme="minorEastAsia"/>
                <w:sz w:val="24"/>
                <w:szCs w:val="24"/>
              </w:rPr>
              <w:t>共发表论文12篇，其中SCI收录论文5篇，通过Web of Science检索，5篇SCI论文被国际SCI刊物论文引用47次。通过CCD中国引文数据库7篇论文被引用20次。</w:t>
            </w:r>
            <w:r>
              <w:rPr>
                <w:rFonts w:hint="eastAsia" w:asciiTheme="minorEastAsia" w:hAnsiTheme="minorEastAsia"/>
                <w:sz w:val="24"/>
                <w:szCs w:val="24"/>
              </w:rPr>
              <w:t>该</w:t>
            </w:r>
            <w:r>
              <w:rPr>
                <w:rFonts w:asciiTheme="minorEastAsia" w:hAnsiTheme="minorEastAsia"/>
                <w:sz w:val="24"/>
                <w:szCs w:val="24"/>
              </w:rPr>
              <w:t>项目</w:t>
            </w:r>
            <w:r>
              <w:rPr>
                <w:rFonts w:hint="eastAsia" w:asciiTheme="minorEastAsia" w:hAnsiTheme="minorEastAsia"/>
                <w:sz w:val="24"/>
                <w:szCs w:val="24"/>
              </w:rPr>
              <w:t>培养硕士研究生3人，取得了显著的社会效益和经济效益，本项目社会效益更突出。</w:t>
            </w:r>
          </w:p>
        </w:tc>
        <w:tc>
          <w:tcPr>
            <w:tcW w:w="491" w:type="pct"/>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szCs w:val="24"/>
              </w:rPr>
              <w:t>科技进步奖</w:t>
            </w:r>
          </w:p>
        </w:tc>
        <w:tc>
          <w:tcPr>
            <w:tcW w:w="370" w:type="pct"/>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szCs w:val="24"/>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64" w:type="pct"/>
            <w:shd w:val="clear" w:color="auto" w:fill="auto"/>
            <w:vAlign w:val="center"/>
          </w:tcPr>
          <w:p>
            <w:pPr>
              <w:pStyle w:val="15"/>
              <w:widowControl/>
              <w:numPr>
                <w:ilvl w:val="0"/>
                <w:numId w:val="0"/>
              </w:numPr>
              <w:ind w:leftChars="0"/>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3</w:t>
            </w:r>
          </w:p>
        </w:tc>
        <w:tc>
          <w:tcPr>
            <w:tcW w:w="596" w:type="pct"/>
            <w:shd w:val="clear" w:color="auto" w:fill="auto"/>
            <w:vAlign w:val="center"/>
          </w:tcPr>
          <w:p>
            <w:pPr>
              <w:widowControl/>
              <w:rPr>
                <w:rFonts w:ascii="宋体" w:hAnsi="宋体" w:cs="宋体"/>
                <w:kern w:val="0"/>
                <w:szCs w:val="21"/>
              </w:rPr>
            </w:pPr>
            <w:r>
              <w:rPr>
                <w:rFonts w:hint="eastAsia" w:ascii="宋体" w:hAnsi="宋体" w:cs="宋体"/>
                <w:kern w:val="0"/>
                <w:szCs w:val="21"/>
              </w:rPr>
              <w:t>光催化剂结构调控及界面反应强化研究</w:t>
            </w:r>
          </w:p>
        </w:tc>
        <w:tc>
          <w:tcPr>
            <w:tcW w:w="434" w:type="pct"/>
            <w:shd w:val="clear" w:color="auto" w:fill="auto"/>
            <w:vAlign w:val="center"/>
          </w:tcPr>
          <w:p>
            <w:pPr>
              <w:widowControl/>
              <w:rPr>
                <w:rFonts w:ascii="宋体" w:hAnsi="宋体" w:cs="宋体"/>
                <w:kern w:val="0"/>
                <w:szCs w:val="21"/>
              </w:rPr>
            </w:pPr>
            <w:bookmarkStart w:id="0" w:name="RANGE!C4"/>
            <w:r>
              <w:rPr>
                <w:rFonts w:hint="eastAsia" w:ascii="宋体" w:hAnsi="宋体" w:cs="宋体"/>
                <w:kern w:val="0"/>
                <w:szCs w:val="21"/>
              </w:rPr>
              <w:t>杨贵东、阎子峰</w:t>
            </w:r>
            <w:r>
              <w:rPr>
                <w:kern w:val="0"/>
                <w:szCs w:val="21"/>
              </w:rPr>
              <w:t>、</w:t>
            </w:r>
            <w:r>
              <w:rPr>
                <w:rFonts w:hint="eastAsia" w:ascii="宋体" w:hAnsi="宋体" w:cs="宋体"/>
                <w:kern w:val="0"/>
                <w:szCs w:val="21"/>
              </w:rPr>
              <w:t>杨伯伦、林波、严孝清、魏进家</w:t>
            </w:r>
            <w:bookmarkEnd w:id="0"/>
          </w:p>
        </w:tc>
        <w:tc>
          <w:tcPr>
            <w:tcW w:w="543" w:type="pct"/>
            <w:shd w:val="clear" w:color="auto" w:fill="auto"/>
            <w:vAlign w:val="center"/>
          </w:tcPr>
          <w:p>
            <w:pPr>
              <w:widowControl/>
              <w:rPr>
                <w:rFonts w:ascii="宋体" w:hAnsi="宋体" w:cs="宋体"/>
                <w:kern w:val="0"/>
                <w:szCs w:val="21"/>
              </w:rPr>
            </w:pPr>
            <w:r>
              <w:rPr>
                <w:rFonts w:hint="eastAsia" w:ascii="宋体" w:hAnsi="宋体" w:cs="宋体"/>
                <w:kern w:val="0"/>
                <w:szCs w:val="21"/>
              </w:rPr>
              <w:t>西安交通大学，中国石油大学(华东)</w:t>
            </w:r>
          </w:p>
        </w:tc>
        <w:tc>
          <w:tcPr>
            <w:tcW w:w="2400" w:type="pct"/>
            <w:shd w:val="clear" w:color="auto" w:fill="auto"/>
            <w:vAlign w:val="center"/>
          </w:tcPr>
          <w:p>
            <w:pPr>
              <w:widowControl/>
              <w:adjustRightInd w:val="0"/>
              <w:snapToGrid w:val="0"/>
              <w:ind w:firstLine="420" w:firstLineChars="200"/>
              <w:rPr>
                <w:rFonts w:ascii="宋体" w:hAnsi="宋体" w:cs="宋体"/>
                <w:kern w:val="0"/>
                <w:szCs w:val="21"/>
              </w:rPr>
            </w:pPr>
            <w:bookmarkStart w:id="1" w:name="OLE_LINK149"/>
            <w:bookmarkStart w:id="2" w:name="OLE_LINK150"/>
            <w:bookmarkStart w:id="3" w:name="OLE_LINK151"/>
            <w:r>
              <w:rPr>
                <w:rFonts w:ascii="宋体" w:hAnsi="宋体" w:cs="宋体"/>
                <w:kern w:val="0"/>
                <w:szCs w:val="21"/>
              </w:rPr>
              <w:t>该项目围绕光催化剂结构调控的主线，通过对半导体材料能带结构、表界面结构和孔道结构的精准设计，成功构建了一系列新型的结构化半导体光催化剂，实现了光催化剂带隙宽度的精细调控，促进了光生载流子分离，强化了表面反应传质，进而较好地解决了传统光催化材料不能被可见光激发、载流子易复合与反应速率慢的问题，并揭示了小分子反应物和光生电荷在催化剂宏观表面及微观结构中的传质/传递规律，为结构化光催化剂的开发与应用提供了理论依据与全新合成策略</w:t>
            </w:r>
            <w:r>
              <w:rPr>
                <w:rFonts w:hint="eastAsia" w:ascii="宋体" w:hAnsi="宋体" w:cs="宋体"/>
                <w:kern w:val="0"/>
                <w:szCs w:val="21"/>
              </w:rPr>
              <w:t>。</w:t>
            </w:r>
            <w:r>
              <w:rPr>
                <w:rFonts w:ascii="宋体" w:hAnsi="宋体" w:cs="宋体"/>
                <w:kern w:val="0"/>
                <w:szCs w:val="21"/>
              </w:rPr>
              <w:t>该项目在Applied Catalysis B: Environmental, Journal of Materials Chemistry等期刊发表的5篇代表性论文，获得了国内外学术界的高度认可和广泛引用，SCI他引总次数为9</w:t>
            </w:r>
            <w:r>
              <w:rPr>
                <w:rFonts w:hint="eastAsia" w:ascii="宋体" w:hAnsi="宋体" w:cs="宋体"/>
                <w:kern w:val="0"/>
                <w:szCs w:val="21"/>
              </w:rPr>
              <w:t>75</w:t>
            </w:r>
            <w:r>
              <w:rPr>
                <w:rFonts w:ascii="宋体" w:hAnsi="宋体" w:cs="宋体"/>
                <w:kern w:val="0"/>
                <w:szCs w:val="21"/>
              </w:rPr>
              <w:t>次。单篇最高他引5</w:t>
            </w:r>
            <w:r>
              <w:rPr>
                <w:rFonts w:hint="eastAsia" w:ascii="宋体" w:hAnsi="宋体" w:cs="宋体"/>
                <w:kern w:val="0"/>
                <w:szCs w:val="21"/>
              </w:rPr>
              <w:t>1</w:t>
            </w:r>
            <w:r>
              <w:rPr>
                <w:rFonts w:ascii="宋体" w:hAnsi="宋体" w:cs="宋体"/>
                <w:kern w:val="0"/>
                <w:szCs w:val="21"/>
              </w:rPr>
              <w:t>8次，2篇入选ESI论文</w:t>
            </w:r>
            <w:r>
              <w:rPr>
                <w:rFonts w:hint="eastAsia" w:ascii="宋体" w:hAnsi="宋体" w:cs="宋体"/>
                <w:kern w:val="0"/>
                <w:szCs w:val="21"/>
              </w:rPr>
              <w:t>，2篇入选</w:t>
            </w:r>
            <w:r>
              <w:rPr>
                <w:rFonts w:ascii="宋体" w:hAnsi="宋体" w:cs="宋体"/>
                <w:kern w:val="0"/>
                <w:szCs w:val="21"/>
              </w:rPr>
              <w:t>ESI</w:t>
            </w:r>
            <w:r>
              <w:rPr>
                <w:rFonts w:hint="eastAsia" w:ascii="宋体" w:hAnsi="宋体" w:cs="宋体"/>
                <w:kern w:val="0"/>
                <w:szCs w:val="21"/>
              </w:rPr>
              <w:t>热点论文</w:t>
            </w:r>
            <w:r>
              <w:rPr>
                <w:rFonts w:ascii="宋体" w:hAnsi="宋体" w:cs="宋体"/>
                <w:kern w:val="0"/>
                <w:szCs w:val="21"/>
              </w:rPr>
              <w:t>。</w:t>
            </w:r>
            <w:bookmarkEnd w:id="1"/>
            <w:bookmarkEnd w:id="2"/>
            <w:bookmarkEnd w:id="3"/>
            <w:r>
              <w:rPr>
                <w:rFonts w:ascii="宋体" w:hAnsi="宋体" w:cs="宋体"/>
                <w:kern w:val="0"/>
                <w:szCs w:val="21"/>
              </w:rPr>
              <w:t>该项目培养了教育部青年长江学者1人。</w:t>
            </w:r>
          </w:p>
        </w:tc>
        <w:tc>
          <w:tcPr>
            <w:tcW w:w="49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自然科学奖</w:t>
            </w:r>
          </w:p>
        </w:tc>
        <w:tc>
          <w:tcPr>
            <w:tcW w:w="370"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4" w:type="pct"/>
            <w:shd w:val="clear" w:color="auto" w:fill="auto"/>
            <w:vAlign w:val="center"/>
          </w:tcPr>
          <w:p>
            <w:pPr>
              <w:pStyle w:val="15"/>
              <w:widowControl/>
              <w:numPr>
                <w:ilvl w:val="0"/>
                <w:numId w:val="0"/>
              </w:numPr>
              <w:ind w:leftChars="0"/>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4</w:t>
            </w:r>
          </w:p>
        </w:tc>
        <w:tc>
          <w:tcPr>
            <w:tcW w:w="596" w:type="pct"/>
            <w:shd w:val="clear" w:color="auto" w:fill="auto"/>
            <w:vAlign w:val="center"/>
          </w:tcPr>
          <w:p>
            <w:pPr>
              <w:widowControl/>
              <w:rPr>
                <w:rFonts w:ascii="宋体" w:hAnsi="宋体" w:cs="宋体"/>
                <w:color w:val="FF0000"/>
                <w:kern w:val="0"/>
                <w:szCs w:val="21"/>
              </w:rPr>
            </w:pPr>
            <w:bookmarkStart w:id="4" w:name="OLE_LINK11"/>
            <w:bookmarkStart w:id="5" w:name="OLE_LINK10"/>
            <w:bookmarkStart w:id="6" w:name="OLE_LINK12"/>
            <w:r>
              <w:rPr>
                <w:rFonts w:hint="eastAsia" w:ascii="宋体" w:hAnsi="宋体"/>
              </w:rPr>
              <w:t>复杂视觉场景的多目标表征和识别理论与方法</w:t>
            </w:r>
            <w:bookmarkEnd w:id="4"/>
            <w:bookmarkEnd w:id="5"/>
            <w:bookmarkEnd w:id="6"/>
          </w:p>
        </w:tc>
        <w:tc>
          <w:tcPr>
            <w:tcW w:w="434" w:type="pct"/>
            <w:shd w:val="clear" w:color="auto" w:fill="auto"/>
            <w:vAlign w:val="center"/>
          </w:tcPr>
          <w:p>
            <w:pPr>
              <w:widowControl/>
              <w:rPr>
                <w:rFonts w:ascii="宋体" w:hAnsi="宋体" w:cs="宋体"/>
                <w:color w:val="FF0000"/>
                <w:kern w:val="0"/>
                <w:szCs w:val="21"/>
              </w:rPr>
            </w:pPr>
            <w:r>
              <w:rPr>
                <w:rFonts w:hint="eastAsia" w:ascii="宋体" w:hAnsi="宋体"/>
              </w:rPr>
              <w:t>龚怡宏、惠维、陈霸东、赵季中、张顺、周三平</w:t>
            </w:r>
          </w:p>
        </w:tc>
        <w:tc>
          <w:tcPr>
            <w:tcW w:w="543" w:type="pct"/>
            <w:shd w:val="clear" w:color="auto" w:fill="auto"/>
            <w:vAlign w:val="center"/>
          </w:tcPr>
          <w:p>
            <w:pPr>
              <w:widowControl/>
              <w:rPr>
                <w:rFonts w:ascii="宋体" w:hAnsi="宋体" w:cs="宋体"/>
                <w:kern w:val="0"/>
                <w:szCs w:val="21"/>
              </w:rPr>
            </w:pPr>
            <w:r>
              <w:rPr>
                <w:rFonts w:hint="eastAsia" w:ascii="宋体" w:hAnsi="宋体" w:cs="宋体"/>
                <w:kern w:val="0"/>
                <w:szCs w:val="21"/>
              </w:rPr>
              <w:t>西安交通大学</w:t>
            </w:r>
          </w:p>
        </w:tc>
        <w:tc>
          <w:tcPr>
            <w:tcW w:w="2400" w:type="pct"/>
            <w:shd w:val="clear" w:color="auto" w:fill="auto"/>
            <w:vAlign w:val="center"/>
          </w:tcPr>
          <w:p>
            <w:pPr>
              <w:ind w:firstLine="420" w:firstLineChars="200"/>
            </w:pPr>
            <w:r>
              <w:t>该项目围绕多目标定位与跟踪这个科学问题，历经10多年攻关，揭示了视觉场景目标精准识别的表征不变性与区分性内在机理，建立了满足高不变性与高区分性的目标表征与识别方法；提出了视觉信息缺失及复杂噪声情况下的目标鲁棒表征与识别理论，构建了移动多目标分布的PEM表征算子和多阶混合灰色识别模型，以及复杂噪声下的互相关熵鲁棒模型学习方法；建立了由场景通用性向专用性自适应演化的目标表征与识别双向反馈计算方法，从而解决了复杂视觉场景下的高精度、高鲁棒、场景自适应的多目标定位与跟踪问题，引领了该领域的研究方向。</w:t>
            </w:r>
          </w:p>
          <w:p>
            <w:pPr>
              <w:widowControl/>
              <w:adjustRightInd w:val="0"/>
              <w:snapToGrid w:val="0"/>
              <w:rPr>
                <w:rFonts w:ascii="宋体" w:hAnsi="宋体" w:cs="宋体"/>
                <w:kern w:val="0"/>
                <w:szCs w:val="21"/>
              </w:rPr>
            </w:pPr>
            <w:r>
              <w:t>5篇代表性论著总计Google Scholar引用1872次，单篇最高引用1044次，1篇代表作是ESI高被引论文。主要成果得到美国、</w:t>
            </w:r>
            <w:r>
              <w:rPr>
                <w:rFonts w:hint="eastAsia"/>
              </w:rPr>
              <w:t>中国、</w:t>
            </w:r>
            <w:r>
              <w:t>英国、澳大利亚、瑞典等国科学院院士、IEEE/ACM/AAAS/IAPR Fellows等国际知名学者的引用和高度评价。项目成果在西藏自治区和陕西省智能视频监控系统中得到实际应用。第一完成人因在计算机视觉与多媒体领域的贡献于2017年入选IEEE Fellow。</w:t>
            </w:r>
          </w:p>
        </w:tc>
        <w:tc>
          <w:tcPr>
            <w:tcW w:w="49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自然科学奖</w:t>
            </w:r>
          </w:p>
        </w:tc>
        <w:tc>
          <w:tcPr>
            <w:tcW w:w="370"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 w:type="pct"/>
            <w:shd w:val="clear" w:color="auto" w:fill="auto"/>
            <w:vAlign w:val="center"/>
          </w:tcPr>
          <w:p>
            <w:pPr>
              <w:pStyle w:val="15"/>
              <w:widowControl/>
              <w:numPr>
                <w:ilvl w:val="0"/>
                <w:numId w:val="0"/>
              </w:numPr>
              <w:ind w:leftChars="0"/>
              <w:jc w:val="both"/>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96" w:type="pct"/>
            <w:shd w:val="clear" w:color="auto" w:fill="auto"/>
            <w:vAlign w:val="center"/>
          </w:tcPr>
          <w:p>
            <w:pPr>
              <w:widowControl/>
              <w:rPr>
                <w:rFonts w:ascii="宋体" w:hAnsi="宋体" w:cs="宋体"/>
                <w:kern w:val="0"/>
                <w:szCs w:val="21"/>
              </w:rPr>
            </w:pPr>
            <w:r>
              <w:rPr>
                <w:rFonts w:ascii="Calibri" w:hAnsi="Calibri" w:cs="Calibri"/>
                <w:kern w:val="0"/>
                <w:szCs w:val="21"/>
              </w:rPr>
              <w:t>﻿</w:t>
            </w:r>
            <w:r>
              <w:rPr>
                <w:rFonts w:hint="eastAsia" w:ascii="宋体" w:hAnsi="宋体" w:cs="宋体"/>
                <w:kern w:val="0"/>
                <w:szCs w:val="21"/>
              </w:rPr>
              <w:t>面向智慧社区的可信绿色服务关键技术及应用</w:t>
            </w:r>
          </w:p>
        </w:tc>
        <w:tc>
          <w:tcPr>
            <w:tcW w:w="434" w:type="pct"/>
            <w:shd w:val="clear" w:color="auto" w:fill="auto"/>
            <w:vAlign w:val="center"/>
          </w:tcPr>
          <w:p>
            <w:pPr>
              <w:widowControl/>
              <w:rPr>
                <w:rFonts w:ascii="宋体" w:hAnsi="宋体" w:cs="宋体"/>
                <w:kern w:val="0"/>
                <w:szCs w:val="21"/>
              </w:rPr>
            </w:pPr>
            <w:r>
              <w:rPr>
                <w:rFonts w:ascii="Calibri" w:hAnsi="Calibri" w:cs="Calibri"/>
                <w:kern w:val="0"/>
                <w:szCs w:val="21"/>
              </w:rPr>
              <w:t>﻿</w:t>
            </w:r>
            <w:r>
              <w:rPr>
                <w:rFonts w:hint="eastAsia" w:ascii="宋体" w:hAnsi="宋体" w:cs="宋体"/>
                <w:kern w:val="0"/>
                <w:szCs w:val="21"/>
              </w:rPr>
              <w:t>丁菡，赵鲲，王鸽，郭振格，杨雪琪，曹心怡，师伟</w:t>
            </w:r>
          </w:p>
        </w:tc>
        <w:tc>
          <w:tcPr>
            <w:tcW w:w="543" w:type="pct"/>
            <w:shd w:val="clear" w:color="auto" w:fill="auto"/>
            <w:vAlign w:val="center"/>
          </w:tcPr>
          <w:p>
            <w:pPr>
              <w:widowControl/>
              <w:rPr>
                <w:rFonts w:ascii="宋体" w:hAnsi="宋体" w:cs="宋体"/>
                <w:kern w:val="0"/>
                <w:szCs w:val="21"/>
              </w:rPr>
            </w:pPr>
            <w:r>
              <w:rPr>
                <w:rFonts w:hint="eastAsia" w:ascii="宋体" w:hAnsi="宋体" w:cs="宋体"/>
                <w:kern w:val="0"/>
                <w:szCs w:val="21"/>
              </w:rPr>
              <w:t>西安交通大学</w:t>
            </w:r>
          </w:p>
        </w:tc>
        <w:tc>
          <w:tcPr>
            <w:tcW w:w="2400" w:type="pct"/>
            <w:shd w:val="clear" w:color="auto" w:fill="auto"/>
            <w:vAlign w:val="center"/>
          </w:tcPr>
          <w:p>
            <w:pPr>
              <w:widowControl/>
              <w:adjustRightInd w:val="0"/>
              <w:snapToGrid w:val="0"/>
              <w:rPr>
                <w:rFonts w:ascii="宋体" w:hAnsi="宋体" w:cs="宋体"/>
                <w:kern w:val="0"/>
                <w:szCs w:val="21"/>
              </w:rPr>
            </w:pPr>
            <w:r>
              <w:rPr>
                <w:rFonts w:ascii="Calibri" w:hAnsi="Calibri" w:cs="Calibri"/>
                <w:kern w:val="0"/>
                <w:szCs w:val="21"/>
              </w:rPr>
              <w:t>﻿</w:t>
            </w:r>
            <w:r>
              <w:rPr>
                <w:rFonts w:hint="eastAsia" w:ascii="Calibri" w:hAnsi="Calibri" w:cs="Calibri"/>
                <w:kern w:val="0"/>
                <w:szCs w:val="21"/>
                <w:lang w:val="en-US" w:eastAsia="zh-CN"/>
              </w:rPr>
              <w:t xml:space="preserve">  </w:t>
            </w:r>
            <w:r>
              <w:rPr>
                <w:rFonts w:hint="eastAsia" w:ascii="Calibri" w:hAnsi="Calibri" w:cs="Calibri"/>
                <w:kern w:val="0"/>
                <w:szCs w:val="21"/>
              </w:rPr>
              <w:t>该</w:t>
            </w:r>
            <w:r>
              <w:rPr>
                <w:rFonts w:hint="eastAsia" w:ascii="宋体" w:hAnsi="宋体" w:cs="宋体"/>
                <w:kern w:val="0"/>
                <w:szCs w:val="21"/>
              </w:rPr>
              <w:t>项目依托国家</w:t>
            </w:r>
            <w:r>
              <w:rPr>
                <w:rFonts w:ascii="宋体" w:hAnsi="宋体" w:cs="宋体"/>
                <w:kern w:val="0"/>
                <w:szCs w:val="21"/>
              </w:rPr>
              <w:t>863</w:t>
            </w:r>
            <w:r>
              <w:rPr>
                <w:rFonts w:hint="eastAsia" w:ascii="宋体" w:hAnsi="宋体" w:cs="宋体"/>
                <w:kern w:val="0"/>
                <w:szCs w:val="21"/>
              </w:rPr>
              <w:t>计划目标导向项目、国家自然基金杰青课题等项目支持，历经10多年攻关，针对智慧社区应用落地面临的安全性与便捷性、智能性与经济性难以兼顾的关键共性问题，提出面向智慧社区的可信绿色服务的解决思路，即在不新增或少增传感设备的条件下，充分利用社区已有的通信、检测与计算设施，将数据隐私保护贯穿社区管理服务系统，实现了敏感数据不共享条件下的可信智能服务，降低了社区基础设施改造及维护成本，完成社区的低成本智能化升级。经长期研发与实践，该项目取得了40余项相关国家发明专利，发表相关论文100余篇。该项目研发的技术成功应用于中国移动通信集团陕西有限公司互联网分公司、深圳禾思众成科技有限公司、广东巨细信息科技有限公司等高新技术企业，服务覆盖智慧社区的安防、便民、健康等领域，截止2020年12月，三年累计新增产值1.986 亿，新增利润1.077亿，新增税收264.8万元，取得了显著的经济和社会效益。</w:t>
            </w:r>
          </w:p>
        </w:tc>
        <w:tc>
          <w:tcPr>
            <w:tcW w:w="49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科技进步奖</w:t>
            </w:r>
          </w:p>
        </w:tc>
        <w:tc>
          <w:tcPr>
            <w:tcW w:w="370"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三等</w:t>
            </w:r>
          </w:p>
        </w:tc>
      </w:tr>
    </w:tbl>
    <w:p>
      <w:pPr>
        <w:spacing w:line="540" w:lineRule="exact"/>
        <w:jc w:val="center"/>
        <w:rPr>
          <w:rFonts w:asciiTheme="minorEastAsia" w:hAnsiTheme="minorEastAsia" w:eastAsiaTheme="minorEastAsia"/>
          <w:b/>
          <w:sz w:val="36"/>
          <w:szCs w:val="36"/>
        </w:rPr>
      </w:pPr>
    </w:p>
    <w:sectPr>
      <w:pgSz w:w="16817" w:h="11901"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F"/>
    <w:rsid w:val="000217BD"/>
    <w:rsid w:val="00024F61"/>
    <w:rsid w:val="00033D1C"/>
    <w:rsid w:val="00034809"/>
    <w:rsid w:val="00042A1E"/>
    <w:rsid w:val="00053A94"/>
    <w:rsid w:val="00055621"/>
    <w:rsid w:val="000641A8"/>
    <w:rsid w:val="00071786"/>
    <w:rsid w:val="000A17F5"/>
    <w:rsid w:val="000A3217"/>
    <w:rsid w:val="000B1B1B"/>
    <w:rsid w:val="000C1C7A"/>
    <w:rsid w:val="000C417C"/>
    <w:rsid w:val="000D5DEF"/>
    <w:rsid w:val="000E33B6"/>
    <w:rsid w:val="000F7B67"/>
    <w:rsid w:val="0012607D"/>
    <w:rsid w:val="00130AAC"/>
    <w:rsid w:val="00142FFC"/>
    <w:rsid w:val="0015184A"/>
    <w:rsid w:val="00156628"/>
    <w:rsid w:val="00185C83"/>
    <w:rsid w:val="00186149"/>
    <w:rsid w:val="00190826"/>
    <w:rsid w:val="001C08A0"/>
    <w:rsid w:val="001D227F"/>
    <w:rsid w:val="001D3480"/>
    <w:rsid w:val="001E1B12"/>
    <w:rsid w:val="001F5CB1"/>
    <w:rsid w:val="0020296B"/>
    <w:rsid w:val="00204481"/>
    <w:rsid w:val="00207911"/>
    <w:rsid w:val="00214757"/>
    <w:rsid w:val="00226E94"/>
    <w:rsid w:val="0025052B"/>
    <w:rsid w:val="00262461"/>
    <w:rsid w:val="002626F6"/>
    <w:rsid w:val="00265F79"/>
    <w:rsid w:val="00270CCC"/>
    <w:rsid w:val="0028422E"/>
    <w:rsid w:val="00286685"/>
    <w:rsid w:val="002A0A28"/>
    <w:rsid w:val="002A26E1"/>
    <w:rsid w:val="002B5099"/>
    <w:rsid w:val="002C0462"/>
    <w:rsid w:val="002F464B"/>
    <w:rsid w:val="002F7F18"/>
    <w:rsid w:val="00313722"/>
    <w:rsid w:val="00314B5A"/>
    <w:rsid w:val="00314E8F"/>
    <w:rsid w:val="003219A4"/>
    <w:rsid w:val="00324301"/>
    <w:rsid w:val="003360B1"/>
    <w:rsid w:val="00364BE2"/>
    <w:rsid w:val="00377D2E"/>
    <w:rsid w:val="00381C84"/>
    <w:rsid w:val="003A207A"/>
    <w:rsid w:val="003A6209"/>
    <w:rsid w:val="003B75B8"/>
    <w:rsid w:val="003D21EF"/>
    <w:rsid w:val="003D5AD5"/>
    <w:rsid w:val="003D60B5"/>
    <w:rsid w:val="003E0411"/>
    <w:rsid w:val="003E5E70"/>
    <w:rsid w:val="00402933"/>
    <w:rsid w:val="00403811"/>
    <w:rsid w:val="004133DF"/>
    <w:rsid w:val="00414A86"/>
    <w:rsid w:val="0042579A"/>
    <w:rsid w:val="004351ED"/>
    <w:rsid w:val="00436618"/>
    <w:rsid w:val="0044718C"/>
    <w:rsid w:val="004511B4"/>
    <w:rsid w:val="004624FF"/>
    <w:rsid w:val="00471E77"/>
    <w:rsid w:val="00472105"/>
    <w:rsid w:val="0048384F"/>
    <w:rsid w:val="00494452"/>
    <w:rsid w:val="004A36F8"/>
    <w:rsid w:val="004B7E4C"/>
    <w:rsid w:val="004C1FE2"/>
    <w:rsid w:val="004D4684"/>
    <w:rsid w:val="004D52A3"/>
    <w:rsid w:val="004E5D68"/>
    <w:rsid w:val="004F4A74"/>
    <w:rsid w:val="004F729B"/>
    <w:rsid w:val="00505637"/>
    <w:rsid w:val="00515628"/>
    <w:rsid w:val="005245F6"/>
    <w:rsid w:val="00530618"/>
    <w:rsid w:val="00531E0F"/>
    <w:rsid w:val="00533221"/>
    <w:rsid w:val="00546C52"/>
    <w:rsid w:val="0055346E"/>
    <w:rsid w:val="00565C57"/>
    <w:rsid w:val="005765AA"/>
    <w:rsid w:val="005769C8"/>
    <w:rsid w:val="00582B7D"/>
    <w:rsid w:val="00583F3B"/>
    <w:rsid w:val="0058520B"/>
    <w:rsid w:val="00585FB1"/>
    <w:rsid w:val="00590D9B"/>
    <w:rsid w:val="005A14CB"/>
    <w:rsid w:val="005A1CBC"/>
    <w:rsid w:val="005B12E8"/>
    <w:rsid w:val="005C116D"/>
    <w:rsid w:val="005D21A1"/>
    <w:rsid w:val="005D23BA"/>
    <w:rsid w:val="005D59F7"/>
    <w:rsid w:val="005E3C2D"/>
    <w:rsid w:val="005F0845"/>
    <w:rsid w:val="005F327E"/>
    <w:rsid w:val="0060230F"/>
    <w:rsid w:val="0061035A"/>
    <w:rsid w:val="00617A6A"/>
    <w:rsid w:val="006271A4"/>
    <w:rsid w:val="00627A90"/>
    <w:rsid w:val="0063210B"/>
    <w:rsid w:val="006339AD"/>
    <w:rsid w:val="00635EDA"/>
    <w:rsid w:val="006544CF"/>
    <w:rsid w:val="00660705"/>
    <w:rsid w:val="00684DEE"/>
    <w:rsid w:val="0069393A"/>
    <w:rsid w:val="006A26D8"/>
    <w:rsid w:val="006A36AB"/>
    <w:rsid w:val="006B187B"/>
    <w:rsid w:val="006D4148"/>
    <w:rsid w:val="006E1B17"/>
    <w:rsid w:val="006E417E"/>
    <w:rsid w:val="006E43D0"/>
    <w:rsid w:val="006E6ABF"/>
    <w:rsid w:val="006F0EB5"/>
    <w:rsid w:val="00712783"/>
    <w:rsid w:val="007148C8"/>
    <w:rsid w:val="00714CEC"/>
    <w:rsid w:val="00721FA5"/>
    <w:rsid w:val="0073177C"/>
    <w:rsid w:val="00733F2E"/>
    <w:rsid w:val="00737FD2"/>
    <w:rsid w:val="0075310D"/>
    <w:rsid w:val="00763515"/>
    <w:rsid w:val="00770D75"/>
    <w:rsid w:val="00781921"/>
    <w:rsid w:val="007B7116"/>
    <w:rsid w:val="007C300B"/>
    <w:rsid w:val="007D2328"/>
    <w:rsid w:val="007D2451"/>
    <w:rsid w:val="007D5C7D"/>
    <w:rsid w:val="007E3BC1"/>
    <w:rsid w:val="007E63E3"/>
    <w:rsid w:val="007E672E"/>
    <w:rsid w:val="007F1973"/>
    <w:rsid w:val="007F6946"/>
    <w:rsid w:val="00802484"/>
    <w:rsid w:val="00805737"/>
    <w:rsid w:val="00824C2B"/>
    <w:rsid w:val="00834B39"/>
    <w:rsid w:val="008412CB"/>
    <w:rsid w:val="00844525"/>
    <w:rsid w:val="008461FD"/>
    <w:rsid w:val="00850EBA"/>
    <w:rsid w:val="00864157"/>
    <w:rsid w:val="008660CB"/>
    <w:rsid w:val="00880E9E"/>
    <w:rsid w:val="00890769"/>
    <w:rsid w:val="00890886"/>
    <w:rsid w:val="00894588"/>
    <w:rsid w:val="00895D93"/>
    <w:rsid w:val="008A324C"/>
    <w:rsid w:val="008A3F48"/>
    <w:rsid w:val="008B0CCE"/>
    <w:rsid w:val="008B116B"/>
    <w:rsid w:val="008C11CA"/>
    <w:rsid w:val="008C7A46"/>
    <w:rsid w:val="008E606A"/>
    <w:rsid w:val="008F7973"/>
    <w:rsid w:val="00915148"/>
    <w:rsid w:val="0091653E"/>
    <w:rsid w:val="00916657"/>
    <w:rsid w:val="00916874"/>
    <w:rsid w:val="00916C61"/>
    <w:rsid w:val="00922832"/>
    <w:rsid w:val="00936828"/>
    <w:rsid w:val="0094702F"/>
    <w:rsid w:val="00950304"/>
    <w:rsid w:val="00960E0F"/>
    <w:rsid w:val="009648A8"/>
    <w:rsid w:val="0096634E"/>
    <w:rsid w:val="0097042C"/>
    <w:rsid w:val="0097370C"/>
    <w:rsid w:val="009800AC"/>
    <w:rsid w:val="00984270"/>
    <w:rsid w:val="009925AF"/>
    <w:rsid w:val="00994DBC"/>
    <w:rsid w:val="00996497"/>
    <w:rsid w:val="009A0D30"/>
    <w:rsid w:val="009B60D3"/>
    <w:rsid w:val="009B77B5"/>
    <w:rsid w:val="009D7A2C"/>
    <w:rsid w:val="009E10C8"/>
    <w:rsid w:val="009E7F49"/>
    <w:rsid w:val="009F1497"/>
    <w:rsid w:val="009F756F"/>
    <w:rsid w:val="00A00590"/>
    <w:rsid w:val="00A073BB"/>
    <w:rsid w:val="00A16D60"/>
    <w:rsid w:val="00A25AF9"/>
    <w:rsid w:val="00A271AF"/>
    <w:rsid w:val="00A37AFA"/>
    <w:rsid w:val="00A403D5"/>
    <w:rsid w:val="00A525CE"/>
    <w:rsid w:val="00A55154"/>
    <w:rsid w:val="00A678DC"/>
    <w:rsid w:val="00A71B52"/>
    <w:rsid w:val="00A751A4"/>
    <w:rsid w:val="00A80180"/>
    <w:rsid w:val="00A80C75"/>
    <w:rsid w:val="00A91F9E"/>
    <w:rsid w:val="00A96E7B"/>
    <w:rsid w:val="00AA186A"/>
    <w:rsid w:val="00AA4A52"/>
    <w:rsid w:val="00AA7D99"/>
    <w:rsid w:val="00AB05D3"/>
    <w:rsid w:val="00AC27EB"/>
    <w:rsid w:val="00AC59D2"/>
    <w:rsid w:val="00AD2847"/>
    <w:rsid w:val="00AD3ECB"/>
    <w:rsid w:val="00AE0F90"/>
    <w:rsid w:val="00AE14F6"/>
    <w:rsid w:val="00AE235B"/>
    <w:rsid w:val="00B0101F"/>
    <w:rsid w:val="00B10083"/>
    <w:rsid w:val="00B21B57"/>
    <w:rsid w:val="00B27EAF"/>
    <w:rsid w:val="00B5082C"/>
    <w:rsid w:val="00B55E07"/>
    <w:rsid w:val="00B75ED2"/>
    <w:rsid w:val="00B93569"/>
    <w:rsid w:val="00BA6006"/>
    <w:rsid w:val="00BB3415"/>
    <w:rsid w:val="00BB38C5"/>
    <w:rsid w:val="00BB4458"/>
    <w:rsid w:val="00BB5505"/>
    <w:rsid w:val="00BC266D"/>
    <w:rsid w:val="00BC5E4C"/>
    <w:rsid w:val="00BF4AA3"/>
    <w:rsid w:val="00BF7BB6"/>
    <w:rsid w:val="00C06EB2"/>
    <w:rsid w:val="00C175CC"/>
    <w:rsid w:val="00C41DE9"/>
    <w:rsid w:val="00C444B5"/>
    <w:rsid w:val="00C47892"/>
    <w:rsid w:val="00C60AF1"/>
    <w:rsid w:val="00C66FE3"/>
    <w:rsid w:val="00C74DCB"/>
    <w:rsid w:val="00C86B05"/>
    <w:rsid w:val="00C8747A"/>
    <w:rsid w:val="00CA09DC"/>
    <w:rsid w:val="00CB2D86"/>
    <w:rsid w:val="00CB525B"/>
    <w:rsid w:val="00CD741A"/>
    <w:rsid w:val="00CE6E00"/>
    <w:rsid w:val="00CF0496"/>
    <w:rsid w:val="00D012BB"/>
    <w:rsid w:val="00D13970"/>
    <w:rsid w:val="00D158B5"/>
    <w:rsid w:val="00D15C80"/>
    <w:rsid w:val="00D20A28"/>
    <w:rsid w:val="00D26304"/>
    <w:rsid w:val="00D30A91"/>
    <w:rsid w:val="00D36036"/>
    <w:rsid w:val="00D41AD1"/>
    <w:rsid w:val="00D55E84"/>
    <w:rsid w:val="00D57A35"/>
    <w:rsid w:val="00D621EF"/>
    <w:rsid w:val="00D650A3"/>
    <w:rsid w:val="00D750D9"/>
    <w:rsid w:val="00D81941"/>
    <w:rsid w:val="00D86278"/>
    <w:rsid w:val="00D92DB1"/>
    <w:rsid w:val="00DA0244"/>
    <w:rsid w:val="00DC3A94"/>
    <w:rsid w:val="00DC4239"/>
    <w:rsid w:val="00DD2EE2"/>
    <w:rsid w:val="00DD789A"/>
    <w:rsid w:val="00DE0499"/>
    <w:rsid w:val="00DE774A"/>
    <w:rsid w:val="00DF0DA7"/>
    <w:rsid w:val="00E06427"/>
    <w:rsid w:val="00E16AA8"/>
    <w:rsid w:val="00E234E7"/>
    <w:rsid w:val="00E26008"/>
    <w:rsid w:val="00E26EA8"/>
    <w:rsid w:val="00E344B0"/>
    <w:rsid w:val="00E358FD"/>
    <w:rsid w:val="00E37848"/>
    <w:rsid w:val="00E441B5"/>
    <w:rsid w:val="00E464CF"/>
    <w:rsid w:val="00E47E84"/>
    <w:rsid w:val="00E60AC0"/>
    <w:rsid w:val="00E6380A"/>
    <w:rsid w:val="00E72B6E"/>
    <w:rsid w:val="00E74455"/>
    <w:rsid w:val="00E75CA2"/>
    <w:rsid w:val="00E76301"/>
    <w:rsid w:val="00E80F91"/>
    <w:rsid w:val="00E81323"/>
    <w:rsid w:val="00E85F38"/>
    <w:rsid w:val="00E92FCF"/>
    <w:rsid w:val="00EA23DE"/>
    <w:rsid w:val="00EA42E7"/>
    <w:rsid w:val="00EA78BC"/>
    <w:rsid w:val="00EA7AE5"/>
    <w:rsid w:val="00EB6D3E"/>
    <w:rsid w:val="00EC3C80"/>
    <w:rsid w:val="00ED3BD8"/>
    <w:rsid w:val="00EE0DC1"/>
    <w:rsid w:val="00EE5651"/>
    <w:rsid w:val="00EE6367"/>
    <w:rsid w:val="00EF438F"/>
    <w:rsid w:val="00EF4EC4"/>
    <w:rsid w:val="00F207C7"/>
    <w:rsid w:val="00F2150F"/>
    <w:rsid w:val="00F30EDE"/>
    <w:rsid w:val="00F4593B"/>
    <w:rsid w:val="00F50D8E"/>
    <w:rsid w:val="00F62C4D"/>
    <w:rsid w:val="00F81227"/>
    <w:rsid w:val="00F96F8E"/>
    <w:rsid w:val="00FA2524"/>
    <w:rsid w:val="00FA2F4C"/>
    <w:rsid w:val="00FA45C8"/>
    <w:rsid w:val="00FC2FDA"/>
    <w:rsid w:val="00FE4458"/>
    <w:rsid w:val="27E41C3D"/>
    <w:rsid w:val="51477F58"/>
    <w:rsid w:val="5835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iPriority w:val="0"/>
    <w:pPr>
      <w:jc w:val="center"/>
    </w:pPr>
    <w:rPr>
      <w:rFonts w:ascii="仿宋_GB2312" w:eastAsia="仿宋_GB2312"/>
      <w:sz w:val="3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Hyperlink"/>
    <w:qFormat/>
    <w:uiPriority w:val="0"/>
    <w:rPr>
      <w:color w:val="0000FF"/>
      <w:u w:val="single"/>
    </w:rPr>
  </w:style>
  <w:style w:type="paragraph" w:customStyle="1" w:styleId="12">
    <w:name w:val="默认段落字体 Para Char Char Char1 Char"/>
    <w:basedOn w:val="1"/>
    <w:qFormat/>
    <w:uiPriority w:val="0"/>
  </w:style>
  <w:style w:type="paragraph" w:customStyle="1" w:styleId="13">
    <w:name w:val="Char"/>
    <w:basedOn w:val="1"/>
    <w:qFormat/>
    <w:uiPriority w:val="0"/>
  </w:style>
  <w:style w:type="character" w:customStyle="1" w:styleId="14">
    <w:name w:val="apple-style-span"/>
    <w:basedOn w:val="9"/>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339</Words>
  <Characters>1938</Characters>
  <Lines>16</Lines>
  <Paragraphs>4</Paragraphs>
  <TotalTime>10</TotalTime>
  <ScaleCrop>false</ScaleCrop>
  <LinksUpToDate>false</LinksUpToDate>
  <CharactersWithSpaces>2273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2019-06-24T13:01:00Z</dcterms:created>
  <dc:creator>lvduo</dc:creator>
  <cp:lastModifiedBy>晓月枫叶</cp:lastModifiedBy>
  <cp:lastPrinted>2021-04-30T00:46:43Z</cp:lastPrinted>
  <dcterms:modified xsi:type="dcterms:W3CDTF">2021-04-30T00:47:30Z</dcterms:modified>
  <dc:title>公示结果报告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B9B66D3143F64C25A62802F6C7B9E39C</vt:lpwstr>
  </property>
</Properties>
</file>